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701"/>
        <w:gridCol w:w="284"/>
        <w:gridCol w:w="1684"/>
        <w:gridCol w:w="1524"/>
        <w:gridCol w:w="1044"/>
        <w:gridCol w:w="1898"/>
        <w:gridCol w:w="1044"/>
      </w:tblGrid>
      <w:tr w:rsidR="00C01B1B" w:rsidRPr="00C01B1B" w:rsidTr="00C01B1B">
        <w:trPr>
          <w:trHeight w:val="255"/>
        </w:trPr>
        <w:tc>
          <w:tcPr>
            <w:tcW w:w="1701"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Level</w:t>
            </w:r>
          </w:p>
        </w:tc>
        <w:tc>
          <w:tcPr>
            <w:tcW w:w="1701"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284"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3208" w:type="dxa"/>
            <w:gridSpan w:val="2"/>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Kabupaten Pelalawan</w:t>
            </w:r>
          </w:p>
        </w:tc>
        <w:tc>
          <w:tcPr>
            <w:tcW w:w="1044"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04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402" w:type="dxa"/>
            <w:gridSpan w:val="2"/>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Komponen</w:t>
            </w:r>
          </w:p>
        </w:tc>
        <w:tc>
          <w:tcPr>
            <w:tcW w:w="284"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3208" w:type="dxa"/>
            <w:gridSpan w:val="2"/>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Implementasi Kinerja</w:t>
            </w:r>
          </w:p>
        </w:tc>
        <w:tc>
          <w:tcPr>
            <w:tcW w:w="1044"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898"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04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1701"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701"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284"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68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04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98" w:type="dxa"/>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04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686" w:type="dxa"/>
            <w:gridSpan w:val="3"/>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6150" w:type="dxa"/>
            <w:gridSpan w:val="4"/>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I. Perencanaan Kehutanan dan Tata Ruang </w:t>
            </w:r>
          </w:p>
        </w:tc>
        <w:tc>
          <w:tcPr>
            <w:tcW w:w="1044" w:type="dxa"/>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3402" w:type="dxa"/>
            <w:gridSpan w:val="2"/>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284"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a. Tingkat penerimaan (legitimasi) atas dokumen RTRWP/RTRWK/Kehutanan</w:t>
            </w:r>
          </w:p>
        </w:tc>
      </w:tr>
      <w:tr w:rsidR="00C01B1B" w:rsidRPr="00C01B1B" w:rsidTr="00C01B1B">
        <w:trPr>
          <w:trHeight w:val="300"/>
        </w:trPr>
        <w:tc>
          <w:tcPr>
            <w:tcW w:w="3402" w:type="dxa"/>
            <w:gridSpan w:val="2"/>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284" w:type="dxa"/>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456"/>
        <w:gridCol w:w="1521"/>
        <w:gridCol w:w="1134"/>
        <w:gridCol w:w="1843"/>
        <w:gridCol w:w="1275"/>
        <w:gridCol w:w="1560"/>
        <w:gridCol w:w="1382"/>
      </w:tblGrid>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382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FIa1</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Bagaimana (tingkat) penerimaan (legitimasi) </w:t>
            </w:r>
            <w:r w:rsidRPr="00C01B1B">
              <w:rPr>
                <w:rFonts w:ascii="Times New Roman" w:eastAsia="Times New Roman" w:hAnsi="Times New Roman" w:cs="Times New Roman"/>
                <w:i/>
                <w:iCs/>
                <w:color w:val="000000"/>
                <w:sz w:val="20"/>
                <w:szCs w:val="20"/>
                <w:lang w:eastAsia="id-ID"/>
              </w:rPr>
              <w:t xml:space="preserve">stakeholder </w:t>
            </w:r>
            <w:r w:rsidRPr="00C01B1B">
              <w:rPr>
                <w:rFonts w:ascii="Times New Roman" w:eastAsia="Times New Roman" w:hAnsi="Times New Roman" w:cs="Times New Roman"/>
                <w:color w:val="000000"/>
                <w:sz w:val="20"/>
                <w:szCs w:val="20"/>
                <w:lang w:eastAsia="id-ID"/>
              </w:rPr>
              <w:t>atas dokumen RTRWP/RTRWK/Kehutanan?</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Yang jelas, kabupaten belum sepenuhnya menerima usulan dari provinsi. Terkadang provinsi juga tidak sesuai prosedur. Usulan RTRWP hanya disodori pada malam hari di rumah dinas Bupati, meminta Bupati menandatangani. Setelah ditandatangani, ternyata Kabupaten tidak menerima usulan tersebut. Bupati tidak dapat menandatangi keputusan yang sama lebih dari satu kali dengan substansi yang berbeda. Hal ini menimbulkan gejolak di kabupaten karena kabupaten sedang menggodok usulan RTRWK juga. </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3</w:t>
            </w:r>
          </w:p>
        </w:tc>
      </w:tr>
      <w:tr w:rsidR="00C01B1B" w:rsidRPr="00C01B1B" w:rsidTr="00C01B1B">
        <w:trPr>
          <w:trHeight w:val="84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PU</w:t>
            </w:r>
          </w:p>
        </w:tc>
        <w:tc>
          <w:tcPr>
            <w:tcW w:w="1843" w:type="dxa"/>
            <w:tcBorders>
              <w:top w:val="nil"/>
              <w:left w:val="nil"/>
              <w:bottom w:val="single" w:sz="4" w:space="0" w:color="auto"/>
              <w:right w:val="nil"/>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nil"/>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w:t>
            </w:r>
          </w:p>
        </w:tc>
      </w:tr>
      <w:tr w:rsidR="00C01B1B" w:rsidRPr="00C01B1B" w:rsidTr="00C01B1B">
        <w:trPr>
          <w:trHeight w:val="127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RTRWK dalam bentuk peta update masih dalam proses pengajuan dari Kabupaten ke Provinsi. Kabupaten menolak usulan dari provinsi karena kabupaten juga memiliki peta usulan.</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2</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34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Asosiasi Pengusaha</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Asosiasi Pengusaha tidak ada di tingkat kabupaten</w:t>
            </w:r>
          </w:p>
        </w:tc>
      </w:tr>
      <w:tr w:rsidR="00C01B1B" w:rsidRPr="00C01B1B" w:rsidTr="00C01B1B">
        <w:trPr>
          <w:trHeight w:val="109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Akademisi</w:t>
            </w:r>
          </w:p>
        </w:tc>
        <w:tc>
          <w:tcPr>
            <w:tcW w:w="1843" w:type="dxa"/>
            <w:tcBorders>
              <w:top w:val="nil"/>
              <w:left w:val="nil"/>
              <w:bottom w:val="single" w:sz="4" w:space="0" w:color="auto"/>
              <w:right w:val="nil"/>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nil"/>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single" w:sz="4" w:space="0" w:color="auto"/>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FIb1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Jumlah luas kawasan hutan yang dikukuhkan dan dite-rima oleh para pihak</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pengukuhan luas kawasan hutan</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Belum ada pengukuhan luas kawasan hutan. Situasi sekarang ini masih kawasan masih </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204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Organisasi masyarakat adat di Pelalawan bukan dalam konteks hutan, tapi kebudayaan, tidak diwawancarai. </w:t>
            </w:r>
            <w:r w:rsidRPr="00C01B1B">
              <w:rPr>
                <w:rFonts w:ascii="Times New Roman" w:eastAsia="Times New Roman" w:hAnsi="Times New Roman" w:cs="Times New Roman"/>
                <w:color w:val="000000"/>
                <w:sz w:val="20"/>
                <w:szCs w:val="20"/>
                <w:lang w:eastAsia="id-ID"/>
              </w:rPr>
              <w:lastRenderedPageBreak/>
              <w:t>Organisasi masyarakat adat yang terkait dengan hutan terdapat di Kabupaten Kampar. Tidak ada organisasi masyarakat adat yang diwawancarai.</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1</w:t>
            </w:r>
          </w:p>
        </w:tc>
      </w:tr>
      <w:tr w:rsidR="00C01B1B" w:rsidRPr="00C01B1B" w:rsidTr="00C01B1B">
        <w:trPr>
          <w:trHeight w:val="61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Akademisi</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4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FIc1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tata ruang untuk masyarakat adat, enclave belum disetujui</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127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Masyarakat belum mendapatkan hak pengelolaan hutan. Yang mendapatkan hak kelola adalah kelompok bisnis atau kelompok kapital besar.</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2</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58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Akademisi</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FFFF00"/>
                <w:sz w:val="20"/>
                <w:szCs w:val="20"/>
                <w:lang w:eastAsia="id-ID"/>
              </w:rPr>
            </w:pPr>
            <w:r w:rsidRPr="00C01B1B">
              <w:rPr>
                <w:rFonts w:ascii="Times New Roman" w:eastAsia="Times New Roman" w:hAnsi="Times New Roman" w:cs="Times New Roman"/>
                <w:color w:val="FFFF00"/>
                <w:sz w:val="20"/>
                <w:szCs w:val="20"/>
                <w:lang w:eastAsia="id-ID"/>
              </w:rPr>
              <w:t> </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konflik penguasaan </w:t>
            </w:r>
            <w:r w:rsidRPr="00C01B1B">
              <w:rPr>
                <w:rFonts w:ascii="Times New Roman" w:eastAsia="Times New Roman" w:hAnsi="Times New Roman" w:cs="Times New Roman"/>
                <w:color w:val="000000"/>
                <w:sz w:val="20"/>
                <w:szCs w:val="20"/>
                <w:lang w:eastAsia="id-ID"/>
              </w:rPr>
              <w:lastRenderedPageBreak/>
              <w:t>kawasan yang dapat difasilitasi penyelesaiannya dalam setiap tahun</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 xml:space="preserve">Apakah jumlah konflik </w:t>
            </w:r>
            <w:r w:rsidRPr="00C01B1B">
              <w:rPr>
                <w:rFonts w:ascii="Times New Roman" w:eastAsia="Times New Roman" w:hAnsi="Times New Roman" w:cs="Times New Roman"/>
                <w:color w:val="000000"/>
                <w:sz w:val="20"/>
                <w:szCs w:val="20"/>
                <w:lang w:eastAsia="id-ID"/>
              </w:rPr>
              <w:lastRenderedPageBreak/>
              <w:t>penguasaan kawasan yang dapat difasilitasi penyelesaiannya dalam setiap tahun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Belum memadai, </w:t>
            </w:r>
            <w:r w:rsidRPr="00C01B1B">
              <w:rPr>
                <w:rFonts w:ascii="Times New Roman" w:eastAsia="Times New Roman" w:hAnsi="Times New Roman" w:cs="Times New Roman"/>
                <w:color w:val="000000"/>
                <w:sz w:val="20"/>
                <w:szCs w:val="20"/>
                <w:lang w:eastAsia="id-ID"/>
              </w:rPr>
              <w:lastRenderedPageBreak/>
              <w:t>konflik tidak berkurang hingga saat ini.</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1</w:t>
            </w:r>
          </w:p>
        </w:tc>
      </w:tr>
      <w:tr w:rsidR="00C01B1B" w:rsidRPr="00C01B1B" w:rsidTr="00C01B1B">
        <w:trPr>
          <w:trHeight w:val="102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FFFF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catatan tentang jumlah fasilitasi penyelesaian setiap tahun. Jumlah konflik tidak berkurang secara signifikan.</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2</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FFFF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61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FFFF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Akademisi</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FId1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Hasil mediasi bisa diterima oleh semua pihak dan dijalankan secara konsisten</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Konflik belum terselesaikan </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102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Mediasi belum tentu berhasil karena perusahaan selalu berhasil mendapatkan perlindungan hukum formal. </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2</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52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Akademisi</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2977"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II. Pengaturan Hak  </w:t>
            </w: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p>
        </w:tc>
      </w:tr>
      <w:tr w:rsidR="00C01B1B" w:rsidRPr="00C01B1B" w:rsidTr="00C01B1B">
        <w:trPr>
          <w:trHeight w:val="6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C01B1B">
              <w:rPr>
                <w:rFonts w:ascii="Times New Roman" w:eastAsia="Times New Roman" w:hAnsi="Times New Roman" w:cs="Times New Roman"/>
                <w:b/>
                <w:bCs/>
                <w:color w:val="000000"/>
                <w:sz w:val="20"/>
                <w:szCs w:val="20"/>
                <w:lang w:eastAsia="id-ID"/>
              </w:rPr>
              <w:br/>
              <w:t xml:space="preserve">   masyarakat dan bisnis di Kementerian/SKPD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 Kementerian/Dinas Kehutanan (Unit Pemberi Izin)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FIIa1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521"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lastRenderedPageBreak/>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C01B1B">
              <w:rPr>
                <w:rFonts w:ascii="Times New Roman" w:eastAsia="Times New Roman" w:hAnsi="Times New Roman" w:cs="Times New Roman"/>
                <w:b/>
                <w:bCs/>
                <w:color w:val="000000"/>
                <w:sz w:val="20"/>
                <w:szCs w:val="20"/>
                <w:lang w:eastAsia="id-ID"/>
              </w:rPr>
              <w:br/>
              <w:t xml:space="preserve">   masyarakat dan bisnis di Kementerian/SKPD </w:t>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6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C01B1B">
              <w:rPr>
                <w:rFonts w:ascii="Times New Roman" w:eastAsia="Times New Roman" w:hAnsi="Times New Roman" w:cs="Times New Roman"/>
                <w:b/>
                <w:bCs/>
                <w:color w:val="000000"/>
                <w:sz w:val="20"/>
                <w:szCs w:val="20"/>
                <w:lang w:eastAsia="id-ID"/>
              </w:rPr>
              <w:br/>
              <w:t xml:space="preserve">  Kementerian/Dinas Kehutanan (Unit Pemberi Izin)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FIIb1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521"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Data ada di BPKH atau di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4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c. Jumlah konflik antar sesama penggunaan kawasan hutan </w:t>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FIIc1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konflik antar sesama penggunaan kawasan hutan </w:t>
            </w:r>
          </w:p>
        </w:tc>
        <w:tc>
          <w:tcPr>
            <w:tcW w:w="1521"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terdokumentasi karena sangat banyak persoalan kehutanan sementara SDM terbatas</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 Pemerintah (Pusat &amp; Daerah), LSM, AMAN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Jumlah praktik terbaik (</w:t>
            </w:r>
            <w:r w:rsidRPr="00C01B1B">
              <w:rPr>
                <w:rFonts w:ascii="Times New Roman" w:eastAsia="Times New Roman" w:hAnsi="Times New Roman" w:cs="Times New Roman"/>
                <w:i/>
                <w:iCs/>
                <w:color w:val="000000"/>
                <w:sz w:val="20"/>
                <w:szCs w:val="20"/>
                <w:lang w:eastAsia="id-ID"/>
              </w:rPr>
              <w:t>best practices</w:t>
            </w:r>
            <w:r w:rsidRPr="00C01B1B">
              <w:rPr>
                <w:rFonts w:ascii="Times New Roman" w:eastAsia="Times New Roman" w:hAnsi="Times New Roman" w:cs="Times New Roman"/>
                <w:color w:val="000000"/>
                <w:sz w:val="20"/>
                <w:szCs w:val="20"/>
                <w:lang w:eastAsia="id-ID"/>
              </w:rPr>
              <w:t>) atas resolusi konflik terkait pengakuan hak masyarakat adat/lokal</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best practice resolusi konflik</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51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best practice resolusi konflik</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FIId1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Pencegahan kekerasan</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resolusi konflik untuk mengatasi permasalahan dengan masyarakat adat.</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51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Belum ada resolusi konflik terkait pengakuan hak </w:t>
            </w:r>
            <w:r w:rsidRPr="00C01B1B">
              <w:rPr>
                <w:rFonts w:ascii="Times New Roman" w:eastAsia="Times New Roman" w:hAnsi="Times New Roman" w:cs="Times New Roman"/>
                <w:color w:val="000000"/>
                <w:sz w:val="20"/>
                <w:szCs w:val="20"/>
                <w:lang w:eastAsia="id-ID"/>
              </w:rPr>
              <w:lastRenderedPageBreak/>
              <w:t>masyarakat adat.</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FIId2</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Penyelesaian konflik</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102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SOP, mungkin LSM pendampingan lain seperti Scale Up yang memiliki metode resolusi konflik</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FIId3</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Penerimaan para pihak</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SOP</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102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tahu, eskalasi konflik berubah-ubah karena masyarakat semakin frustrasi konflik tidak terselesaikan dan perusahaan semakin kuat.</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FIId4</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Komitmen tetap dijalankan</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tahu, belum ada SOP</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sampai ke arah itu, konflik tidak terselesaikan sebalum ada kejelasan tata ruang.</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C01B1B" w:rsidRPr="00C01B1B" w:rsidTr="00C01B1B">
        <w:trPr>
          <w:trHeight w:val="25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 Media cetak</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FIIe1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Jumlah/frekuensi  dan kualitas pemberitaan terkait pengakuan hak masy </w:t>
            </w:r>
            <w:r w:rsidRPr="00C01B1B">
              <w:rPr>
                <w:rFonts w:ascii="Times New Roman" w:eastAsia="Times New Roman" w:hAnsi="Times New Roman" w:cs="Times New Roman"/>
                <w:color w:val="000000"/>
                <w:sz w:val="20"/>
                <w:szCs w:val="20"/>
                <w:lang w:eastAsia="id-ID"/>
              </w:rPr>
              <w:lastRenderedPageBreak/>
              <w:t>adat/lokal meningkat</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 xml:space="preserve">Apakah jumlah/frekuensi  dan kua-litas pemberitaan terkait pengaku-an hak masy adat/lokal </w:t>
            </w:r>
            <w:r w:rsidRPr="00C01B1B">
              <w:rPr>
                <w:rFonts w:ascii="Times New Roman" w:eastAsia="Times New Roman" w:hAnsi="Times New Roman" w:cs="Times New Roman"/>
                <w:color w:val="000000"/>
                <w:sz w:val="20"/>
                <w:szCs w:val="20"/>
                <w:lang w:eastAsia="id-ID"/>
              </w:rPr>
              <w:lastRenderedPageBreak/>
              <w:t>mening-kat?</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Jurnalis</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terlalu signifikan</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FIIe2</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Cakupan berita  mengenai pengakuan pejabat atas hak masyarakat adat</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memadai, persoalan masyarakat adat belum menjadi perhatian umum</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FIIe3</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Posisi berita dalam media cetak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Posisi berita dalam media cetak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memadai, tentang masyarakat adat belum terekspos</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FIIe4</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Posisi media dalam pemberitaan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Posisi media dalam pemberitaan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Jurnalis</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Posisi belum memadai</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691" w:type="dxa"/>
            <w:gridSpan w:val="3"/>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Wawancara – 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Pengusaha, Organisasi Masyarakat Adat, LSM</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FIIIa1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biaya transaksi pengurusan izin pengelolaan hutan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Jumlah biaya transaksi pengurusan izin pengelolaan hutan</w:t>
            </w: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Masyarakat tidak mengetahui</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88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6060" w:type="dxa"/>
            <w:gridSpan w:val="4"/>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9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C01B1B">
              <w:rPr>
                <w:rFonts w:ascii="Times New Roman" w:eastAsia="Times New Roman" w:hAnsi="Times New Roman" w:cs="Times New Roman"/>
                <w:b/>
                <w:bCs/>
                <w:color w:val="000000"/>
                <w:sz w:val="20"/>
                <w:szCs w:val="20"/>
                <w:lang w:eastAsia="id-ID"/>
              </w:rPr>
              <w:br/>
              <w:t xml:space="preserve">  pemegang ijin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Peraturan Prosedur Pelaksanaan Pengurusan Izin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FIIIb1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tahapan dan bentuk persyaratan setiap tahapan dalam pengurusan izin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Tahapan harus mendapatkan izin bupati, tapi sekarang tidak ada penerbitan izin baru, kasus penerbitan izin IUPHHK-HT pasti menjerat bupati dan kepala dinas. Menteri dan pengusaha tidak tersentuh hukum.</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51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BPN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Meminta peneliti berkoordinasi dengan Kanwil BPN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94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Dinas Pertanian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Dinas pertanian tidak mengeluarkan izin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691" w:type="dxa"/>
            <w:gridSpan w:val="3"/>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3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C01B1B">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FIVa1</w:t>
            </w:r>
          </w:p>
        </w:tc>
        <w:tc>
          <w:tcPr>
            <w:tcW w:w="1456"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521" w:type="dxa"/>
            <w:vMerge w:val="restart"/>
            <w:tcBorders>
              <w:top w:val="nil"/>
              <w:left w:val="single" w:sz="4" w:space="0" w:color="auto"/>
              <w:bottom w:val="single" w:sz="4" w:space="0" w:color="000000"/>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kelompok masyarakat adat yang mengelola hutan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510"/>
        </w:trPr>
        <w:tc>
          <w:tcPr>
            <w:tcW w:w="714"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BPN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Meminta peneliti berkoordinasi dengan Kanwil BPN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510"/>
        </w:trPr>
        <w:tc>
          <w:tcPr>
            <w:tcW w:w="714"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Dinas Pertanian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Dinas pertanian tidak mengatur izin karena tidak ada dalam tupoksi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FIVb1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c. Persentase hutan yang memiliki pengelola (KPH)</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Kehutanan &amp; Dinas Kehutanan (Provinsi &amp; Kabupaten)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lastRenderedPageBreak/>
              <w:t>FIVc1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Persentase hutan yang memiliki pengelola (KPH)</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KPH di tingkat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FIVd1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pengelolaan hutan berbasis ecological services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hutan yang dikelola sesuai indikator</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691" w:type="dxa"/>
            <w:gridSpan w:val="3"/>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Laporan Inspektorat, BPKP &amp; BPK, Bawasda</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FVa1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pelanggaran pengguna-an anggaran di tingkat provinsi dan kab/kota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BPK, BAWASDA, INSPEKTORAT</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Koordinasi dengan inspektorat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Kementrian &amp; Dinas Kehutanan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FVb1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Jumlah sanksi administratif serius (pencabutan izin, dan denda, yang telah dijatuhkan)</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Izin dikeluarkan kemenhut, pencabutan juga kewenangan kemenhut, sejauh ini tidak ada sanksi meskpun banyak terjadi konflik</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Kepolisian (Nasional &amp; Daerah)</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FVc1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Jumlah kasus pidana kehutanan yang diajukan/dipro</w:t>
            </w:r>
            <w:r w:rsidRPr="00C01B1B">
              <w:rPr>
                <w:rFonts w:ascii="Times New Roman" w:eastAsia="Times New Roman" w:hAnsi="Times New Roman" w:cs="Times New Roman"/>
                <w:sz w:val="20"/>
                <w:szCs w:val="20"/>
                <w:lang w:eastAsia="id-ID"/>
              </w:rPr>
              <w:lastRenderedPageBreak/>
              <w:t xml:space="preserve">ses oleh polisi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 </w:t>
            </w: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Polres</w:t>
            </w:r>
          </w:p>
        </w:tc>
        <w:tc>
          <w:tcPr>
            <w:tcW w:w="3118"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bersedia memberikan data</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58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C01B1B">
              <w:rPr>
                <w:rFonts w:ascii="Times New Roman" w:eastAsia="Times New Roman" w:hAnsi="Times New Roman" w:cs="Times New Roman"/>
                <w:b/>
                <w:bCs/>
                <w:color w:val="000000"/>
                <w:sz w:val="20"/>
                <w:szCs w:val="20"/>
                <w:lang w:eastAsia="id-ID"/>
              </w:rPr>
              <w:br/>
              <w:t xml:space="preserve">  diputuskan oleh MA</w:t>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Kepolisian (Nasional &amp; Daerah)</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FVd1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Polres</w:t>
            </w:r>
          </w:p>
        </w:tc>
        <w:tc>
          <w:tcPr>
            <w:tcW w:w="3118"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bersedia memberikan data</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e. Index integritas KPK sektor kehutanan</w:t>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Hasil Survai KPK tentang Integritas</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FVe1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Index integritas KPK sektor kehutanan</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KPK &amp; TII</w:t>
            </w:r>
          </w:p>
        </w:tc>
        <w:tc>
          <w:tcPr>
            <w:tcW w:w="3118"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KPK dan TII</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f. Index persepsi korupsi di lokasi assesmen (TII)</w:t>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Hasil Survai Persepsi Transparansi Internasional Indonesia (TII)</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FVf1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Index persepsi korupsi di lokasi assesmen (TII)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KPK &amp; TII</w:t>
            </w:r>
          </w:p>
        </w:tc>
        <w:tc>
          <w:tcPr>
            <w:tcW w:w="3118"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ada KPK dan TII</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15"/>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C01B1B">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Laporan BPK</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lastRenderedPageBreak/>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FVg1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BPK, BAWASDA, INSPEKTORAT</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Dokumen koordinasi dengan inspektorat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h. Jumlah pengaduan masyarakat tentang kinerja pengelolaan hutan</w:t>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r>
            <w:r w:rsidRPr="00C01B1B">
              <w:rPr>
                <w:rFonts w:ascii="Times New Roman" w:eastAsia="Times New Roman" w:hAnsi="Times New Roman" w:cs="Times New Roman"/>
                <w:b/>
                <w:bCs/>
                <w:color w:val="000000"/>
                <w:sz w:val="20"/>
                <w:szCs w:val="20"/>
                <w:lang w:eastAsia="id-ID"/>
              </w:rPr>
              <w:br/>
              <w:t xml:space="preserve"> </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FVh1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r w:rsidRPr="00C01B1B">
              <w:rPr>
                <w:rFonts w:ascii="Times New Roman" w:eastAsia="Times New Roman" w:hAnsi="Times New Roman" w:cs="Times New Roman"/>
                <w:sz w:val="20"/>
                <w:szCs w:val="20"/>
                <w:lang w:eastAsia="id-ID"/>
              </w:rPr>
              <w:t xml:space="preserve">Jumlah pengaduan masyarakat tentang kinerja pengelolaan hutan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terdokumentasi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sz w:val="20"/>
                <w:szCs w:val="20"/>
                <w:lang w:eastAsia="id-ID"/>
              </w:rPr>
            </w:pPr>
          </w:p>
        </w:tc>
        <w:tc>
          <w:tcPr>
            <w:tcW w:w="1456"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255"/>
        </w:trPr>
        <w:tc>
          <w:tcPr>
            <w:tcW w:w="3691" w:type="dxa"/>
            <w:gridSpan w:val="3"/>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Isu dalam PGA REDD+</w:t>
            </w:r>
          </w:p>
        </w:tc>
        <w:tc>
          <w:tcPr>
            <w:tcW w:w="5812" w:type="dxa"/>
            <w:gridSpan w:val="4"/>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FVIa1</w:t>
            </w:r>
          </w:p>
        </w:tc>
        <w:tc>
          <w:tcPr>
            <w:tcW w:w="1456"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90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Satgas REDD+</w:t>
            </w:r>
          </w:p>
        </w:tc>
        <w:tc>
          <w:tcPr>
            <w:tcW w:w="3118"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terbentuk satgas REDD+</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b. Tingkat penerimaan Strategi REDD+ oleh para aktor</w:t>
            </w:r>
            <w:r w:rsidRPr="00C01B1B">
              <w:rPr>
                <w:rFonts w:ascii="Times New Roman" w:eastAsia="Times New Roman" w:hAnsi="Times New Roman" w:cs="Times New Roman"/>
                <w:b/>
                <w:bCs/>
                <w:color w:val="000000"/>
                <w:sz w:val="20"/>
                <w:szCs w:val="20"/>
                <w:lang w:eastAsia="id-ID"/>
              </w:rPr>
              <w:br/>
            </w:r>
          </w:p>
        </w:tc>
      </w:tr>
      <w:tr w:rsidR="00C01B1B" w:rsidRPr="00C01B1B" w:rsidTr="00C01B1B">
        <w:trPr>
          <w:trHeight w:val="66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FVIb1</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Bagaimana penerimaan Strate-gi REDD+ oleh para aktor?</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kegiatan REDD+, bahkan belum mengetahui kegiatan REDD+ akan seperti apa.</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51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Sama sekali belum mengetahui apa REDD+</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dapat diketahui karena kegiatannya dan skemanya belum jelas</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FVIb2</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Kelembagaan REDD+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kelembagaan REDD+ di kabupaten</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25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510"/>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 kelembagaan REDD+ di kabupaten Siak</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FVIb3</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Apakah Kerangka Pengaman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tahu</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Di tingkat provinsi saja masih berdebat masalah REDD+ atau RAD GRK.</w:t>
            </w:r>
          </w:p>
        </w:tc>
        <w:tc>
          <w:tcPr>
            <w:tcW w:w="1382"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FVIb</w:t>
            </w:r>
            <w:r w:rsidRPr="00C01B1B">
              <w:rPr>
                <w:rFonts w:ascii="Times New Roman" w:eastAsia="Times New Roman" w:hAnsi="Times New Roman" w:cs="Times New Roman"/>
                <w:color w:val="000000"/>
                <w:sz w:val="20"/>
                <w:szCs w:val="20"/>
                <w:lang w:eastAsia="id-ID"/>
              </w:rPr>
              <w:lastRenderedPageBreak/>
              <w:t>4</w:t>
            </w:r>
          </w:p>
        </w:tc>
        <w:tc>
          <w:tcPr>
            <w:tcW w:w="1456" w:type="dxa"/>
            <w:vMerge w:val="restart"/>
            <w:tcBorders>
              <w:top w:val="nil"/>
              <w:left w:val="single" w:sz="4" w:space="0" w:color="auto"/>
              <w:bottom w:val="single" w:sz="4" w:space="0" w:color="000000"/>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 </w:t>
            </w:r>
          </w:p>
        </w:tc>
        <w:tc>
          <w:tcPr>
            <w:tcW w:w="1521" w:type="dxa"/>
            <w:vMerge w:val="restart"/>
            <w:tcBorders>
              <w:top w:val="nil"/>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Apakah </w:t>
            </w:r>
            <w:r w:rsidRPr="00C01B1B">
              <w:rPr>
                <w:rFonts w:ascii="Times New Roman" w:eastAsia="Times New Roman" w:hAnsi="Times New Roman" w:cs="Times New Roman"/>
                <w:color w:val="000000"/>
                <w:sz w:val="20"/>
                <w:szCs w:val="20"/>
                <w:lang w:eastAsia="id-ID"/>
              </w:rPr>
              <w:lastRenderedPageBreak/>
              <w:t>(mekanisme) MRV sudah memadai?</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lastRenderedPageBreak/>
              <w:t>Kehutanan</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Bappeda</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LSM</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560" w:type="dxa"/>
            <w:tcBorders>
              <w:top w:val="nil"/>
              <w:left w:val="nil"/>
              <w:bottom w:val="single" w:sz="4" w:space="0" w:color="auto"/>
              <w:right w:val="single" w:sz="4" w:space="0" w:color="auto"/>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765"/>
        </w:trPr>
        <w:tc>
          <w:tcPr>
            <w:tcW w:w="714"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456" w:type="dxa"/>
            <w:vMerge/>
            <w:tcBorders>
              <w:top w:val="nil"/>
              <w:left w:val="single" w:sz="4" w:space="0" w:color="auto"/>
              <w:bottom w:val="single" w:sz="4" w:space="0" w:color="000000"/>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521" w:type="dxa"/>
            <w:vMerge/>
            <w:tcBorders>
              <w:top w:val="nil"/>
              <w:left w:val="single" w:sz="4" w:space="0" w:color="auto"/>
              <w:bottom w:val="single" w:sz="4" w:space="0" w:color="auto"/>
              <w:right w:val="single" w:sz="4" w:space="0" w:color="auto"/>
            </w:tcBorders>
            <w:vAlign w:val="center"/>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single" w:sz="4" w:space="0" w:color="auto"/>
              <w:right w:val="single" w:sz="4" w:space="0" w:color="auto"/>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Lokal</w:t>
            </w:r>
          </w:p>
        </w:tc>
        <w:tc>
          <w:tcPr>
            <w:tcW w:w="1843"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275"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2942" w:type="dxa"/>
            <w:gridSpan w:val="2"/>
            <w:tcBorders>
              <w:top w:val="single" w:sz="4" w:space="0" w:color="auto"/>
              <w:left w:val="nil"/>
              <w:bottom w:val="single" w:sz="4" w:space="0" w:color="auto"/>
              <w:right w:val="single" w:sz="4" w:space="0" w:color="000000"/>
            </w:tcBorders>
            <w:shd w:val="clear" w:color="000000" w:fill="F2DDDC"/>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c. Tingkat deforestasi di lokasi assesmen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FVIc1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Tingkat deforestasi di lokasi assesmen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Hanya ada data tingkat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d. Tingkat degradasi hutan di lokasi assesmen</w:t>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FVId1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Tingkat degradasi hutan di lokasi assesmen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Ada di provinsi</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r w:rsidR="00C01B1B" w:rsidRPr="00C01B1B" w:rsidTr="00C01B1B">
        <w:trPr>
          <w:trHeight w:val="255"/>
        </w:trPr>
        <w:tc>
          <w:tcPr>
            <w:tcW w:w="71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456"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275"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p>
        </w:tc>
      </w:tr>
      <w:tr w:rsidR="00C01B1B" w:rsidRPr="00C01B1B" w:rsidTr="00C01B1B">
        <w:trPr>
          <w:trHeight w:val="6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Indikator</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C01B1B" w:rsidRPr="00C01B1B" w:rsidRDefault="00C01B1B" w:rsidP="00C01B1B">
            <w:pPr>
              <w:spacing w:after="24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C01B1B">
              <w:rPr>
                <w:rFonts w:ascii="Times New Roman" w:eastAsia="Times New Roman" w:hAnsi="Times New Roman" w:cs="Times New Roman"/>
                <w:b/>
                <w:bCs/>
                <w:color w:val="000000"/>
                <w:sz w:val="20"/>
                <w:szCs w:val="20"/>
                <w:lang w:eastAsia="id-ID"/>
              </w:rPr>
              <w:br/>
              <w:t xml:space="preserve">  REDD+ (demonstration ativities)</w:t>
            </w:r>
            <w:r w:rsidRPr="00C01B1B">
              <w:rPr>
                <w:rFonts w:ascii="Times New Roman" w:eastAsia="Times New Roman" w:hAnsi="Times New Roman" w:cs="Times New Roman"/>
                <w:b/>
                <w:bCs/>
                <w:color w:val="000000"/>
                <w:sz w:val="20"/>
                <w:szCs w:val="20"/>
                <w:lang w:eastAsia="id-ID"/>
              </w:rPr>
              <w:br/>
            </w:r>
          </w:p>
        </w:tc>
      </w:tr>
      <w:tr w:rsidR="00C01B1B" w:rsidRPr="00C01B1B" w:rsidTr="00C01B1B">
        <w:trPr>
          <w:trHeight w:val="300"/>
        </w:trPr>
        <w:tc>
          <w:tcPr>
            <w:tcW w:w="2170" w:type="dxa"/>
            <w:gridSpan w:val="2"/>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informasi</w:t>
            </w:r>
          </w:p>
        </w:tc>
        <w:tc>
          <w:tcPr>
            <w:tcW w:w="1521" w:type="dxa"/>
            <w:tcBorders>
              <w:top w:val="nil"/>
              <w:left w:val="nil"/>
              <w:bottom w:val="nil"/>
              <w:right w:val="nil"/>
            </w:tcBorders>
            <w:shd w:val="clear" w:color="auto" w:fill="auto"/>
            <w:noWrap/>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p>
        </w:tc>
        <w:tc>
          <w:tcPr>
            <w:tcW w:w="7194" w:type="dxa"/>
            <w:gridSpan w:val="5"/>
            <w:tcBorders>
              <w:top w:val="nil"/>
              <w:left w:val="nil"/>
              <w:bottom w:val="single" w:sz="4" w:space="0" w:color="auto"/>
              <w:right w:val="nil"/>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 Kementerian &amp; Dinas Kehutanan</w:t>
            </w:r>
          </w:p>
        </w:tc>
      </w:tr>
      <w:tr w:rsidR="00C01B1B" w:rsidRPr="00C01B1B" w:rsidTr="00C01B1B">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Kode</w:t>
            </w:r>
          </w:p>
        </w:tc>
        <w:tc>
          <w:tcPr>
            <w:tcW w:w="1456"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Panduan Analisis Dokumen</w:t>
            </w:r>
          </w:p>
        </w:tc>
        <w:tc>
          <w:tcPr>
            <w:tcW w:w="1521" w:type="dxa"/>
            <w:tcBorders>
              <w:top w:val="single" w:sz="4" w:space="0" w:color="auto"/>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Pertanyaan Wawancara</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Sumber Data</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Dokumen</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Dokumen</w:t>
            </w:r>
          </w:p>
        </w:tc>
        <w:tc>
          <w:tcPr>
            <w:tcW w:w="1560"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b/>
                <w:bCs/>
                <w:color w:val="000000"/>
                <w:sz w:val="20"/>
                <w:szCs w:val="20"/>
                <w:lang w:eastAsia="id-ID"/>
              </w:rPr>
            </w:pPr>
            <w:r w:rsidRPr="00C01B1B">
              <w:rPr>
                <w:rFonts w:ascii="Times New Roman" w:eastAsia="Times New Roman" w:hAnsi="Times New Roman" w:cs="Times New Roman"/>
                <w:b/>
                <w:bCs/>
                <w:color w:val="000000"/>
                <w:sz w:val="20"/>
                <w:szCs w:val="20"/>
                <w:lang w:eastAsia="id-ID"/>
              </w:rPr>
              <w:t>Kategori Data Wawancara</w:t>
            </w:r>
          </w:p>
        </w:tc>
      </w:tr>
      <w:tr w:rsidR="00C01B1B" w:rsidRPr="00C01B1B" w:rsidTr="00C01B1B">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FVIe1</w:t>
            </w:r>
          </w:p>
        </w:tc>
        <w:tc>
          <w:tcPr>
            <w:tcW w:w="1456"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521"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134"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Kehutanan</w:t>
            </w:r>
          </w:p>
        </w:tc>
        <w:tc>
          <w:tcPr>
            <w:tcW w:w="1843"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Belum ada</w:t>
            </w:r>
          </w:p>
        </w:tc>
        <w:tc>
          <w:tcPr>
            <w:tcW w:w="1275" w:type="dxa"/>
            <w:tcBorders>
              <w:top w:val="nil"/>
              <w:left w:val="nil"/>
              <w:bottom w:val="single" w:sz="4" w:space="0" w:color="auto"/>
              <w:right w:val="single" w:sz="4" w:space="0" w:color="auto"/>
            </w:tcBorders>
            <w:shd w:val="clear" w:color="auto" w:fill="auto"/>
            <w:hideMark/>
          </w:tcPr>
          <w:p w:rsidR="00C01B1B" w:rsidRPr="00C01B1B" w:rsidRDefault="00C01B1B" w:rsidP="00C01B1B">
            <w:pPr>
              <w:spacing w:after="0" w:line="240" w:lineRule="auto"/>
              <w:jc w:val="center"/>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1</w:t>
            </w:r>
          </w:p>
        </w:tc>
        <w:tc>
          <w:tcPr>
            <w:tcW w:w="1560"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C01B1B" w:rsidRPr="00C01B1B" w:rsidRDefault="00C01B1B" w:rsidP="00C01B1B">
            <w:pPr>
              <w:spacing w:after="0" w:line="240" w:lineRule="auto"/>
              <w:rPr>
                <w:rFonts w:ascii="Times New Roman" w:eastAsia="Times New Roman" w:hAnsi="Times New Roman" w:cs="Times New Roman"/>
                <w:color w:val="000000"/>
                <w:sz w:val="20"/>
                <w:szCs w:val="20"/>
                <w:lang w:eastAsia="id-ID"/>
              </w:rPr>
            </w:pPr>
            <w:r w:rsidRPr="00C01B1B">
              <w:rPr>
                <w:rFonts w:ascii="Times New Roman" w:eastAsia="Times New Roman" w:hAnsi="Times New Roman" w:cs="Times New Roman"/>
                <w:color w:val="000000"/>
                <w:sz w:val="20"/>
                <w:szCs w:val="20"/>
                <w:lang w:eastAsia="id-ID"/>
              </w:rPr>
              <w:t> </w:t>
            </w:r>
          </w:p>
        </w:tc>
      </w:tr>
    </w:tbl>
    <w:p w:rsidR="00C01B1B" w:rsidRDefault="00C01B1B"/>
    <w:sectPr w:rsidR="00C01B1B"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BB5203"/>
    <w:rsid w:val="00C01B1B"/>
    <w:rsid w:val="00C622FE"/>
    <w:rsid w:val="00D74DB4"/>
    <w:rsid w:val="00D9058A"/>
    <w:rsid w:val="00F970E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C01B1B"/>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C01B1B"/>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145636371">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68304864">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13</Pages>
  <Words>3817</Words>
  <Characters>21761</Characters>
  <Application>Microsoft Office Word</Application>
  <DocSecurity>0</DocSecurity>
  <Lines>181</Lines>
  <Paragraphs>51</Paragraphs>
  <ScaleCrop>false</ScaleCrop>
  <Company/>
  <LinksUpToDate>false</LinksUpToDate>
  <CharactersWithSpaces>25527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2012-10-17T00:25:00Z</dcterms:modified>
</cp:coreProperties>
</file>